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486401" w:rsidRDefault="00486401" w:rsidP="00486401">
            <w:pPr>
              <w:rPr>
                <w:sz w:val="26"/>
              </w:rPr>
            </w:pPr>
          </w:p>
          <w:p w:rsidR="00D35CBF" w:rsidRPr="002815A2" w:rsidRDefault="00D35CBF" w:rsidP="00D35CBF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Egyek Nagyközség Önkormányzat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="00456315">
              <w:rPr>
                <w:rFonts w:ascii="Times New Roman" w:hAnsi="Times New Roman"/>
                <w:b/>
                <w:sz w:val="24"/>
                <w:szCs w:val="24"/>
              </w:rPr>
              <w:t>épviselő-testületének   ….</w:t>
            </w:r>
            <w:proofErr w:type="gramEnd"/>
            <w:r w:rsidR="00456315">
              <w:rPr>
                <w:rFonts w:ascii="Times New Roman" w:hAnsi="Times New Roman"/>
                <w:b/>
                <w:sz w:val="24"/>
                <w:szCs w:val="24"/>
              </w:rPr>
              <w:t xml:space="preserve"> /2020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(II.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5631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) számú önkormányzati rendelete a közterületek használatáról és a közterületek rendjéről szóló 27/2018.(XI.29.) számú önkormányzati </w:t>
            </w:r>
            <w:r w:rsidRPr="002815A2">
              <w:rPr>
                <w:rFonts w:ascii="Times New Roman" w:hAnsi="Times New Roman"/>
                <w:b/>
                <w:sz w:val="24"/>
                <w:szCs w:val="24"/>
              </w:rPr>
              <w:t>rendeletének módosításáról</w:t>
            </w:r>
          </w:p>
          <w:p w:rsidR="001A1AD0" w:rsidRDefault="001A1AD0" w:rsidP="001A1AD0">
            <w:pPr>
              <w:pStyle w:val="Nincstrkz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05B49" w:rsidRPr="00A1684D" w:rsidRDefault="00805B49" w:rsidP="001A1AD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D35CBF">
              <w:rPr>
                <w:rFonts w:ascii="Calibri" w:hAnsi="Calibri"/>
                <w:bCs/>
              </w:rPr>
              <w:t>si hatása van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</w:t>
            </w:r>
            <w:r w:rsidR="00766209">
              <w:rPr>
                <w:rFonts w:ascii="Calibri" w:hAnsi="Calibri"/>
                <w:bCs/>
              </w:rPr>
              <w:t>k környezeti következménye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 xml:space="preserve">A rendelet megalkotásának adminisztratív </w:t>
            </w:r>
            <w:r w:rsidR="00FE0285">
              <w:rPr>
                <w:rFonts w:eastAsia="Times New Roman,Bold"/>
                <w:sz w:val="24"/>
                <w:szCs w:val="24"/>
              </w:rPr>
              <w:t>terhet befolyásoló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FE0285" w:rsidRDefault="00D35CBF" w:rsidP="00D71B83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486401">
              <w:rPr>
                <w:rFonts w:ascii="Calibri" w:hAnsi="Calibri"/>
                <w:bCs/>
              </w:rPr>
              <w:t xml:space="preserve">ának várható </w:t>
            </w:r>
            <w:r w:rsidR="00D35CBF">
              <w:rPr>
                <w:rFonts w:ascii="Calibri" w:hAnsi="Calibri"/>
                <w:bCs/>
              </w:rPr>
              <w:t>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456315">
              <w:rPr>
                <w:rFonts w:ascii="Calibri" w:hAnsi="Calibri"/>
                <w:b/>
                <w:bCs/>
              </w:rPr>
              <w:t>2020. 02. 13.</w:t>
            </w:r>
            <w:bookmarkStart w:id="0" w:name="_GoBack"/>
            <w:bookmarkEnd w:id="0"/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76417"/>
    <w:rsid w:val="001A1AD0"/>
    <w:rsid w:val="00275B10"/>
    <w:rsid w:val="002B1E1B"/>
    <w:rsid w:val="00456315"/>
    <w:rsid w:val="00486401"/>
    <w:rsid w:val="004D3B1D"/>
    <w:rsid w:val="005001A4"/>
    <w:rsid w:val="00505842"/>
    <w:rsid w:val="005762FA"/>
    <w:rsid w:val="005C3BF8"/>
    <w:rsid w:val="007574F2"/>
    <w:rsid w:val="00766209"/>
    <w:rsid w:val="00805B49"/>
    <w:rsid w:val="0083574C"/>
    <w:rsid w:val="00927B3E"/>
    <w:rsid w:val="009559CE"/>
    <w:rsid w:val="009C1A24"/>
    <w:rsid w:val="009D72D1"/>
    <w:rsid w:val="00A1684D"/>
    <w:rsid w:val="00AE1675"/>
    <w:rsid w:val="00B25D96"/>
    <w:rsid w:val="00BA45DD"/>
    <w:rsid w:val="00BE4FA6"/>
    <w:rsid w:val="00BF6783"/>
    <w:rsid w:val="00C0060D"/>
    <w:rsid w:val="00C80AB8"/>
    <w:rsid w:val="00D20E94"/>
    <w:rsid w:val="00D3270E"/>
    <w:rsid w:val="00D35CBF"/>
    <w:rsid w:val="00D40174"/>
    <w:rsid w:val="00D71B83"/>
    <w:rsid w:val="00D95EB0"/>
    <w:rsid w:val="00ED22D8"/>
    <w:rsid w:val="00F330B4"/>
    <w:rsid w:val="00F57119"/>
    <w:rsid w:val="00F819EC"/>
    <w:rsid w:val="00F96A97"/>
    <w:rsid w:val="00FC4212"/>
    <w:rsid w:val="00FE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  <w:style w:type="paragraph" w:styleId="Nincstrkz">
    <w:name w:val="No Spacing"/>
    <w:qFormat/>
    <w:rsid w:val="001A1AD0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9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3</cp:revision>
  <dcterms:created xsi:type="dcterms:W3CDTF">2020-02-05T13:59:00Z</dcterms:created>
  <dcterms:modified xsi:type="dcterms:W3CDTF">2020-02-05T14:01:00Z</dcterms:modified>
</cp:coreProperties>
</file>